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782F" w14:textId="77777777" w:rsidR="004179BD" w:rsidRPr="0077728D" w:rsidRDefault="004179BD" w:rsidP="004179BD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77728D">
        <w:rPr>
          <w:rFonts w:ascii="Times New Roman" w:hAnsi="Times New Roman" w:cs="Times New Roman"/>
          <w:noProof/>
          <w:sz w:val="20"/>
          <w:szCs w:val="20"/>
          <w:lang w:val="sr-Cyrl-RS"/>
        </w:rPr>
        <w:drawing>
          <wp:inline distT="0" distB="0" distL="0" distR="0" wp14:anchorId="3FA8E0F8" wp14:editId="5A281568">
            <wp:extent cx="409575" cy="800100"/>
            <wp:effectExtent l="0" t="0" r="9525" b="0"/>
            <wp:docPr id="645958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D7FC3" w14:textId="77777777" w:rsidR="004179BD" w:rsidRPr="0077728D" w:rsidRDefault="004179BD" w:rsidP="004179BD">
      <w:pPr>
        <w:rPr>
          <w:rFonts w:ascii="Times New Roman" w:hAnsi="Times New Roman" w:cs="Times New Roman"/>
          <w:b/>
          <w:sz w:val="20"/>
          <w:szCs w:val="20"/>
          <w:lang w:val="sr-Latn-RS"/>
        </w:rPr>
      </w:pPr>
      <w:r w:rsidRPr="0077728D">
        <w:rPr>
          <w:rFonts w:ascii="Times New Roman" w:hAnsi="Times New Roman" w:cs="Times New Roman"/>
          <w:b/>
          <w:sz w:val="20"/>
          <w:szCs w:val="20"/>
          <w:lang w:val="sr-Cyrl-CS"/>
        </w:rPr>
        <w:t>РЕПУБЛИКА СРБИЈА</w:t>
      </w:r>
    </w:p>
    <w:p w14:paraId="18CB29C5" w14:textId="77777777" w:rsidR="004179BD" w:rsidRPr="0077728D" w:rsidRDefault="004179BD" w:rsidP="004179BD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77728D">
        <w:rPr>
          <w:rFonts w:ascii="Times New Roman" w:hAnsi="Times New Roman" w:cs="Times New Roman"/>
          <w:b/>
          <w:sz w:val="20"/>
          <w:szCs w:val="20"/>
          <w:lang w:val="sr-Cyrl-CS"/>
        </w:rPr>
        <w:t>ОПШТИНА ПАРАЋИН</w:t>
      </w:r>
    </w:p>
    <w:p w14:paraId="450E1A72" w14:textId="77777777" w:rsidR="004179BD" w:rsidRPr="0077728D" w:rsidRDefault="004179BD" w:rsidP="004179BD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77728D">
        <w:rPr>
          <w:rFonts w:ascii="Times New Roman" w:hAnsi="Times New Roman" w:cs="Times New Roman"/>
          <w:b/>
          <w:sz w:val="20"/>
          <w:szCs w:val="20"/>
          <w:lang w:val="sr-Cyrl-CS"/>
        </w:rPr>
        <w:t>УПРАВА</w:t>
      </w:r>
      <w:r w:rsidRPr="0077728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ЗА УРБАНИЗАМ, ФИНАНСИЈЕ, </w:t>
      </w:r>
    </w:p>
    <w:p w14:paraId="491963E0" w14:textId="77777777" w:rsidR="004179BD" w:rsidRPr="0077728D" w:rsidRDefault="004179BD" w:rsidP="004179BD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77728D">
        <w:rPr>
          <w:rFonts w:ascii="Times New Roman" w:hAnsi="Times New Roman" w:cs="Times New Roman"/>
          <w:b/>
          <w:sz w:val="20"/>
          <w:szCs w:val="20"/>
          <w:lang w:val="ru-RU"/>
        </w:rPr>
        <w:t>СКУПШТИНСКЕ И ОПШТЕ ПОСЛОВЕ</w:t>
      </w:r>
    </w:p>
    <w:p w14:paraId="6E1967C2" w14:textId="77777777" w:rsidR="004179BD" w:rsidRPr="0077728D" w:rsidRDefault="004179BD" w:rsidP="004179BD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77728D">
        <w:rPr>
          <w:rFonts w:ascii="Times New Roman" w:hAnsi="Times New Roman" w:cs="Times New Roman"/>
          <w:b/>
          <w:sz w:val="20"/>
          <w:szCs w:val="20"/>
          <w:lang w:val="sr-Cyrl-RS"/>
        </w:rPr>
        <w:t>Одељење за урбанизам и имовинско правне послове</w:t>
      </w:r>
    </w:p>
    <w:p w14:paraId="00FFCC75" w14:textId="77777777" w:rsidR="004179BD" w:rsidRPr="0077728D" w:rsidRDefault="004179BD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3F4FDC90" w14:textId="19928391" w:rsidR="001E2AB2" w:rsidRPr="0077728D" w:rsidRDefault="00B426F7">
      <w:pPr>
        <w:pStyle w:val="Title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  <w:lang w:val="sr-Cyrl-RS"/>
        </w:rPr>
        <w:t xml:space="preserve">ЗАХТЕВ ЗА ИЗДАВАЊЕ </w:t>
      </w:r>
      <w:r w:rsidR="0077728D" w:rsidRPr="0077728D">
        <w:rPr>
          <w:rFonts w:ascii="Times New Roman" w:hAnsi="Times New Roman" w:cs="Times New Roman"/>
          <w:sz w:val="20"/>
          <w:szCs w:val="20"/>
          <w:lang w:val="sr-Cyrl-RS"/>
        </w:rPr>
        <w:t>УВЕРЕЊА</w:t>
      </w:r>
    </w:p>
    <w:p w14:paraId="75CD482A" w14:textId="77777777" w:rsidR="001E2AB2" w:rsidRPr="0077728D" w:rsidRDefault="00000000">
      <w:pPr>
        <w:pStyle w:val="Title"/>
        <w:ind w:right="1248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радови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није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потребно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прибављати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акт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надлежног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органа</w:t>
      </w:r>
      <w:proofErr w:type="spellEnd"/>
      <w:r w:rsidRPr="0077728D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77728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градњу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односно</w:t>
      </w:r>
      <w:proofErr w:type="spellEnd"/>
      <w:r w:rsidRPr="0077728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акт</w:t>
      </w:r>
      <w:proofErr w:type="spellEnd"/>
      <w:r w:rsidRPr="0077728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77728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извођење</w:t>
      </w:r>
      <w:proofErr w:type="spellEnd"/>
      <w:r w:rsidRPr="0077728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радова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)</w:t>
      </w:r>
    </w:p>
    <w:p w14:paraId="13B4DAE3" w14:textId="4DC4BA5E" w:rsidR="001E2AB2" w:rsidRPr="0077728D" w:rsidRDefault="008C6B49" w:rsidP="008C6B49">
      <w:pPr>
        <w:pStyle w:val="BodyText"/>
        <w:spacing w:before="120" w:line="244" w:lineRule="auto"/>
        <w:ind w:left="113" w:right="106"/>
        <w:jc w:val="both"/>
        <w:rPr>
          <w:rFonts w:ascii="Times New Roman" w:hAnsi="Times New Roman" w:cs="Times New Roman"/>
        </w:rPr>
      </w:pPr>
      <w:r w:rsidRPr="0077728D">
        <w:rPr>
          <w:rFonts w:ascii="Times New Roman" w:hAnsi="Times New Roman" w:cs="Times New Roman"/>
          <w:shd w:val="clear" w:color="auto" w:fill="FFFFFF"/>
          <w:lang w:val="sr-Cyrl-RS"/>
        </w:rPr>
        <w:t>У</w:t>
      </w:r>
      <w:r w:rsidRPr="0077728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7728D">
        <w:rPr>
          <w:rFonts w:ascii="Times New Roman" w:hAnsi="Times New Roman" w:cs="Times New Roman"/>
          <w:shd w:val="clear" w:color="auto" w:fill="FFFFFF"/>
        </w:rPr>
        <w:t>складу</w:t>
      </w:r>
      <w:proofErr w:type="spellEnd"/>
      <w:r w:rsidRPr="0077728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7728D">
        <w:rPr>
          <w:rFonts w:ascii="Times New Roman" w:hAnsi="Times New Roman" w:cs="Times New Roman"/>
          <w:shd w:val="clear" w:color="auto" w:fill="FFFFFF"/>
        </w:rPr>
        <w:t>са</w:t>
      </w:r>
      <w:proofErr w:type="spellEnd"/>
      <w:r w:rsidRPr="0077728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7728D">
        <w:rPr>
          <w:rFonts w:ascii="Times New Roman" w:hAnsi="Times New Roman" w:cs="Times New Roman"/>
          <w:shd w:val="clear" w:color="auto" w:fill="FFFFFF"/>
        </w:rPr>
        <w:t>посебним</w:t>
      </w:r>
      <w:proofErr w:type="spellEnd"/>
      <w:r w:rsidRPr="0077728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7728D">
        <w:rPr>
          <w:rFonts w:ascii="Times New Roman" w:hAnsi="Times New Roman" w:cs="Times New Roman"/>
          <w:shd w:val="clear" w:color="auto" w:fill="FFFFFF"/>
        </w:rPr>
        <w:t>прописом</w:t>
      </w:r>
      <w:proofErr w:type="spellEnd"/>
      <w:r w:rsidRPr="0077728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7728D">
        <w:rPr>
          <w:rFonts w:ascii="Times New Roman" w:hAnsi="Times New Roman" w:cs="Times New Roman"/>
          <w:shd w:val="clear" w:color="auto" w:fill="FFFFFF"/>
        </w:rPr>
        <w:t>из</w:t>
      </w:r>
      <w:proofErr w:type="spellEnd"/>
      <w:r w:rsidRPr="0077728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7728D">
        <w:rPr>
          <w:rFonts w:ascii="Times New Roman" w:hAnsi="Times New Roman" w:cs="Times New Roman"/>
          <w:shd w:val="clear" w:color="auto" w:fill="FFFFFF"/>
        </w:rPr>
        <w:t>члана</w:t>
      </w:r>
      <w:proofErr w:type="spellEnd"/>
      <w:r w:rsidRPr="0077728D">
        <w:rPr>
          <w:rFonts w:ascii="Times New Roman" w:hAnsi="Times New Roman" w:cs="Times New Roman"/>
          <w:shd w:val="clear" w:color="auto" w:fill="FFFFFF"/>
        </w:rPr>
        <w:t xml:space="preserve"> 201. </w:t>
      </w:r>
      <w:proofErr w:type="spellStart"/>
      <w:r w:rsidRPr="0077728D">
        <w:rPr>
          <w:rFonts w:ascii="Times New Roman" w:hAnsi="Times New Roman" w:cs="Times New Roman"/>
          <w:shd w:val="clear" w:color="auto" w:fill="FFFFFF"/>
        </w:rPr>
        <w:t>став</w:t>
      </w:r>
      <w:proofErr w:type="spellEnd"/>
      <w:r w:rsidRPr="0077728D">
        <w:rPr>
          <w:rFonts w:ascii="Times New Roman" w:hAnsi="Times New Roman" w:cs="Times New Roman"/>
          <w:shd w:val="clear" w:color="auto" w:fill="FFFFFF"/>
        </w:rPr>
        <w:t xml:space="preserve"> 7. </w:t>
      </w:r>
      <w:proofErr w:type="spellStart"/>
      <w:r w:rsidRPr="0077728D">
        <w:rPr>
          <w:rFonts w:ascii="Times New Roman" w:hAnsi="Times New Roman" w:cs="Times New Roman"/>
          <w:shd w:val="clear" w:color="auto" w:fill="FFFFFF"/>
        </w:rPr>
        <w:t>тачка</w:t>
      </w:r>
      <w:proofErr w:type="spellEnd"/>
      <w:r w:rsidRPr="0077728D">
        <w:rPr>
          <w:rFonts w:ascii="Times New Roman" w:hAnsi="Times New Roman" w:cs="Times New Roman"/>
          <w:shd w:val="clear" w:color="auto" w:fill="FFFFFF"/>
        </w:rPr>
        <w:t xml:space="preserve"> 13</w:t>
      </w:r>
      <w:proofErr w:type="gramStart"/>
      <w:r w:rsidRPr="0077728D">
        <w:rPr>
          <w:rFonts w:ascii="Times New Roman" w:hAnsi="Times New Roman" w:cs="Times New Roman"/>
          <w:shd w:val="clear" w:color="auto" w:fill="FFFFFF"/>
        </w:rPr>
        <w:t xml:space="preserve">а) </w:t>
      </w:r>
      <w:r w:rsidRPr="0077728D">
        <w:rPr>
          <w:rFonts w:ascii="Times New Roman" w:hAnsi="Times New Roman" w:cs="Times New Roman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Закона</w:t>
      </w:r>
      <w:proofErr w:type="spellEnd"/>
      <w:proofErr w:type="gramEnd"/>
      <w:r w:rsidRPr="0077728D">
        <w:rPr>
          <w:rFonts w:ascii="Times New Roman" w:hAnsi="Times New Roman" w:cs="Times New Roman"/>
        </w:rPr>
        <w:t xml:space="preserve"> о </w:t>
      </w:r>
      <w:proofErr w:type="spellStart"/>
      <w:r w:rsidRPr="0077728D">
        <w:rPr>
          <w:rFonts w:ascii="Times New Roman" w:hAnsi="Times New Roman" w:cs="Times New Roman"/>
        </w:rPr>
        <w:t>планирању</w:t>
      </w:r>
      <w:proofErr w:type="spellEnd"/>
      <w:r w:rsidRPr="0077728D">
        <w:rPr>
          <w:rFonts w:ascii="Times New Roman" w:hAnsi="Times New Roman" w:cs="Times New Roman"/>
        </w:rPr>
        <w:t xml:space="preserve"> и </w:t>
      </w:r>
      <w:proofErr w:type="spellStart"/>
      <w:r w:rsidRPr="0077728D">
        <w:rPr>
          <w:rFonts w:ascii="Times New Roman" w:hAnsi="Times New Roman" w:cs="Times New Roman"/>
        </w:rPr>
        <w:t>изградњи</w:t>
      </w:r>
      <w:proofErr w:type="spellEnd"/>
      <w:r w:rsidRPr="0077728D">
        <w:rPr>
          <w:rFonts w:ascii="Times New Roman" w:hAnsi="Times New Roman" w:cs="Times New Roman"/>
        </w:rPr>
        <w:t xml:space="preserve"> („</w:t>
      </w:r>
      <w:proofErr w:type="spellStart"/>
      <w:r w:rsidRPr="0077728D">
        <w:rPr>
          <w:rFonts w:ascii="Times New Roman" w:hAnsi="Times New Roman" w:cs="Times New Roman"/>
        </w:rPr>
        <w:t>Службени</w:t>
      </w:r>
      <w:proofErr w:type="spellEnd"/>
      <w:r w:rsidRPr="0077728D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7728D">
        <w:rPr>
          <w:rFonts w:ascii="Times New Roman" w:hAnsi="Times New Roman" w:cs="Times New Roman"/>
          <w:spacing w:val="-1"/>
          <w:w w:val="105"/>
        </w:rPr>
        <w:t>гласник</w:t>
      </w:r>
      <w:proofErr w:type="spellEnd"/>
      <w:r w:rsidRPr="0077728D">
        <w:rPr>
          <w:rFonts w:ascii="Times New Roman" w:hAnsi="Times New Roman" w:cs="Times New Roman"/>
          <w:spacing w:val="-4"/>
          <w:w w:val="105"/>
        </w:rPr>
        <w:t xml:space="preserve"> </w:t>
      </w:r>
      <w:r w:rsidRPr="0077728D">
        <w:rPr>
          <w:rFonts w:ascii="Times New Roman" w:hAnsi="Times New Roman" w:cs="Times New Roman"/>
          <w:w w:val="105"/>
        </w:rPr>
        <w:t>РС“,</w:t>
      </w:r>
      <w:r w:rsidRPr="0077728D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77728D">
        <w:rPr>
          <w:rFonts w:ascii="Times New Roman" w:hAnsi="Times New Roman" w:cs="Times New Roman"/>
          <w:w w:val="105"/>
        </w:rPr>
        <w:t>број</w:t>
      </w:r>
      <w:proofErr w:type="spellEnd"/>
      <w:r w:rsidRPr="0077728D">
        <w:rPr>
          <w:rFonts w:ascii="Times New Roman" w:hAnsi="Times New Roman" w:cs="Times New Roman"/>
          <w:spacing w:val="-3"/>
          <w:w w:val="105"/>
        </w:rPr>
        <w:t xml:space="preserve"> </w:t>
      </w:r>
      <w:r w:rsidRPr="0077728D">
        <w:rPr>
          <w:rFonts w:ascii="Times New Roman" w:hAnsi="Times New Roman" w:cs="Times New Roman"/>
          <w:w w:val="105"/>
        </w:rPr>
        <w:t>72/2009,</w:t>
      </w:r>
      <w:r w:rsidRPr="0077728D">
        <w:rPr>
          <w:rFonts w:ascii="Times New Roman" w:hAnsi="Times New Roman" w:cs="Times New Roman"/>
          <w:spacing w:val="-5"/>
          <w:w w:val="105"/>
        </w:rPr>
        <w:t xml:space="preserve"> </w:t>
      </w:r>
      <w:r w:rsidRPr="0077728D">
        <w:rPr>
          <w:rFonts w:ascii="Times New Roman" w:hAnsi="Times New Roman" w:cs="Times New Roman"/>
          <w:w w:val="105"/>
        </w:rPr>
        <w:t>812009</w:t>
      </w:r>
      <w:r w:rsidRPr="0077728D">
        <w:rPr>
          <w:rFonts w:ascii="Times New Roman" w:hAnsi="Times New Roman" w:cs="Times New Roman"/>
          <w:spacing w:val="-4"/>
          <w:w w:val="105"/>
        </w:rPr>
        <w:t xml:space="preserve"> </w:t>
      </w:r>
      <w:r w:rsidRPr="0077728D">
        <w:rPr>
          <w:rFonts w:ascii="Times New Roman" w:hAnsi="Times New Roman" w:cs="Times New Roman"/>
          <w:w w:val="125"/>
        </w:rPr>
        <w:t>–</w:t>
      </w:r>
      <w:r w:rsidRPr="0077728D">
        <w:rPr>
          <w:rFonts w:ascii="Times New Roman" w:hAnsi="Times New Roman" w:cs="Times New Roman"/>
          <w:spacing w:val="-13"/>
          <w:w w:val="125"/>
        </w:rPr>
        <w:t xml:space="preserve"> </w:t>
      </w:r>
      <w:proofErr w:type="spellStart"/>
      <w:r w:rsidRPr="0077728D">
        <w:rPr>
          <w:rFonts w:ascii="Times New Roman" w:hAnsi="Times New Roman" w:cs="Times New Roman"/>
          <w:w w:val="105"/>
        </w:rPr>
        <w:t>испр</w:t>
      </w:r>
      <w:proofErr w:type="spellEnd"/>
      <w:r w:rsidRPr="0077728D">
        <w:rPr>
          <w:rFonts w:ascii="Times New Roman" w:hAnsi="Times New Roman" w:cs="Times New Roman"/>
          <w:w w:val="105"/>
        </w:rPr>
        <w:t>.,</w:t>
      </w:r>
      <w:r w:rsidRPr="0077728D">
        <w:rPr>
          <w:rFonts w:ascii="Times New Roman" w:hAnsi="Times New Roman" w:cs="Times New Roman"/>
          <w:spacing w:val="-5"/>
          <w:w w:val="105"/>
        </w:rPr>
        <w:t xml:space="preserve"> </w:t>
      </w:r>
      <w:r w:rsidRPr="0077728D">
        <w:rPr>
          <w:rFonts w:ascii="Times New Roman" w:hAnsi="Times New Roman" w:cs="Times New Roman"/>
          <w:w w:val="105"/>
        </w:rPr>
        <w:t>64/2010</w:t>
      </w:r>
      <w:r w:rsidRPr="0077728D">
        <w:rPr>
          <w:rFonts w:ascii="Times New Roman" w:hAnsi="Times New Roman" w:cs="Times New Roman"/>
          <w:spacing w:val="-3"/>
          <w:w w:val="105"/>
        </w:rPr>
        <w:t xml:space="preserve"> </w:t>
      </w:r>
      <w:r w:rsidRPr="0077728D">
        <w:rPr>
          <w:rFonts w:ascii="Times New Roman" w:hAnsi="Times New Roman" w:cs="Times New Roman"/>
          <w:w w:val="125"/>
        </w:rPr>
        <w:t>–</w:t>
      </w:r>
      <w:r w:rsidRPr="0077728D">
        <w:rPr>
          <w:rFonts w:ascii="Times New Roman" w:hAnsi="Times New Roman" w:cs="Times New Roman"/>
          <w:spacing w:val="-17"/>
          <w:w w:val="125"/>
        </w:rPr>
        <w:t xml:space="preserve"> </w:t>
      </w:r>
      <w:proofErr w:type="spellStart"/>
      <w:r w:rsidRPr="0077728D">
        <w:rPr>
          <w:rFonts w:ascii="Times New Roman" w:hAnsi="Times New Roman" w:cs="Times New Roman"/>
          <w:w w:val="105"/>
        </w:rPr>
        <w:t>одлука</w:t>
      </w:r>
      <w:proofErr w:type="spellEnd"/>
      <w:r w:rsidRPr="0077728D">
        <w:rPr>
          <w:rFonts w:ascii="Times New Roman" w:hAnsi="Times New Roman" w:cs="Times New Roman"/>
          <w:spacing w:val="-4"/>
          <w:w w:val="105"/>
        </w:rPr>
        <w:t xml:space="preserve"> </w:t>
      </w:r>
      <w:r w:rsidRPr="0077728D">
        <w:rPr>
          <w:rFonts w:ascii="Times New Roman" w:hAnsi="Times New Roman" w:cs="Times New Roman"/>
          <w:w w:val="105"/>
        </w:rPr>
        <w:t>УС.</w:t>
      </w:r>
      <w:r w:rsidRPr="0077728D">
        <w:rPr>
          <w:rFonts w:ascii="Times New Roman" w:hAnsi="Times New Roman" w:cs="Times New Roman"/>
          <w:spacing w:val="-3"/>
          <w:w w:val="105"/>
        </w:rPr>
        <w:t xml:space="preserve"> </w:t>
      </w:r>
      <w:r w:rsidRPr="0077728D">
        <w:rPr>
          <w:rFonts w:ascii="Times New Roman" w:hAnsi="Times New Roman" w:cs="Times New Roman"/>
          <w:w w:val="105"/>
        </w:rPr>
        <w:t>24/2011.</w:t>
      </w:r>
      <w:r w:rsidRPr="0077728D">
        <w:rPr>
          <w:rFonts w:ascii="Times New Roman" w:hAnsi="Times New Roman" w:cs="Times New Roman"/>
          <w:spacing w:val="-6"/>
          <w:w w:val="105"/>
        </w:rPr>
        <w:t xml:space="preserve"> </w:t>
      </w:r>
      <w:r w:rsidRPr="0077728D">
        <w:rPr>
          <w:rFonts w:ascii="Times New Roman" w:hAnsi="Times New Roman" w:cs="Times New Roman"/>
          <w:w w:val="105"/>
        </w:rPr>
        <w:t>121/2012,</w:t>
      </w:r>
      <w:r w:rsidRPr="0077728D">
        <w:rPr>
          <w:rFonts w:ascii="Times New Roman" w:hAnsi="Times New Roman" w:cs="Times New Roman"/>
          <w:spacing w:val="-3"/>
          <w:w w:val="105"/>
        </w:rPr>
        <w:t xml:space="preserve"> </w:t>
      </w:r>
      <w:r w:rsidRPr="0077728D">
        <w:rPr>
          <w:rFonts w:ascii="Times New Roman" w:hAnsi="Times New Roman" w:cs="Times New Roman"/>
          <w:w w:val="105"/>
        </w:rPr>
        <w:t>42/2013</w:t>
      </w:r>
      <w:r w:rsidRPr="0077728D">
        <w:rPr>
          <w:rFonts w:ascii="Times New Roman" w:hAnsi="Times New Roman" w:cs="Times New Roman"/>
          <w:spacing w:val="-3"/>
          <w:w w:val="105"/>
        </w:rPr>
        <w:t xml:space="preserve"> </w:t>
      </w:r>
      <w:r w:rsidRPr="0077728D">
        <w:rPr>
          <w:rFonts w:ascii="Times New Roman" w:hAnsi="Times New Roman" w:cs="Times New Roman"/>
          <w:w w:val="125"/>
        </w:rPr>
        <w:t>–</w:t>
      </w:r>
      <w:r w:rsidRPr="0077728D">
        <w:rPr>
          <w:rFonts w:ascii="Times New Roman" w:hAnsi="Times New Roman" w:cs="Times New Roman"/>
          <w:spacing w:val="-15"/>
          <w:w w:val="125"/>
        </w:rPr>
        <w:t xml:space="preserve"> </w:t>
      </w:r>
      <w:proofErr w:type="spellStart"/>
      <w:r w:rsidRPr="0077728D">
        <w:rPr>
          <w:rFonts w:ascii="Times New Roman" w:hAnsi="Times New Roman" w:cs="Times New Roman"/>
          <w:w w:val="105"/>
        </w:rPr>
        <w:t>одлука</w:t>
      </w:r>
      <w:proofErr w:type="spellEnd"/>
      <w:r w:rsidRPr="0077728D">
        <w:rPr>
          <w:rFonts w:ascii="Times New Roman" w:hAnsi="Times New Roman" w:cs="Times New Roman"/>
          <w:spacing w:val="-3"/>
          <w:w w:val="105"/>
        </w:rPr>
        <w:t xml:space="preserve"> </w:t>
      </w:r>
      <w:r w:rsidRPr="0077728D">
        <w:rPr>
          <w:rFonts w:ascii="Times New Roman" w:hAnsi="Times New Roman" w:cs="Times New Roman"/>
          <w:w w:val="105"/>
        </w:rPr>
        <w:t>УС,</w:t>
      </w:r>
      <w:r w:rsidRPr="0077728D">
        <w:rPr>
          <w:rFonts w:ascii="Times New Roman" w:hAnsi="Times New Roman" w:cs="Times New Roman"/>
          <w:spacing w:val="-54"/>
          <w:w w:val="105"/>
        </w:rPr>
        <w:t xml:space="preserve"> </w:t>
      </w:r>
      <w:r w:rsidRPr="0077728D">
        <w:rPr>
          <w:rFonts w:ascii="Times New Roman" w:hAnsi="Times New Roman" w:cs="Times New Roman"/>
        </w:rPr>
        <w:t>50/2013</w:t>
      </w:r>
      <w:r w:rsidRPr="0077728D">
        <w:rPr>
          <w:rFonts w:ascii="Times New Roman" w:hAnsi="Times New Roman" w:cs="Times New Roman"/>
          <w:spacing w:val="12"/>
        </w:rPr>
        <w:t xml:space="preserve"> </w:t>
      </w:r>
      <w:r w:rsidRPr="0077728D">
        <w:rPr>
          <w:rFonts w:ascii="Times New Roman" w:hAnsi="Times New Roman" w:cs="Times New Roman"/>
        </w:rPr>
        <w:t>–</w:t>
      </w:r>
      <w:r w:rsidRPr="0077728D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одлука</w:t>
      </w:r>
      <w:proofErr w:type="spellEnd"/>
      <w:r w:rsidRPr="0077728D">
        <w:rPr>
          <w:rFonts w:ascii="Times New Roman" w:hAnsi="Times New Roman" w:cs="Times New Roman"/>
          <w:spacing w:val="8"/>
        </w:rPr>
        <w:t xml:space="preserve"> </w:t>
      </w:r>
      <w:r w:rsidRPr="0077728D">
        <w:rPr>
          <w:rFonts w:ascii="Times New Roman" w:hAnsi="Times New Roman" w:cs="Times New Roman"/>
        </w:rPr>
        <w:t>УС,</w:t>
      </w:r>
      <w:r w:rsidRPr="0077728D">
        <w:rPr>
          <w:rFonts w:ascii="Times New Roman" w:hAnsi="Times New Roman" w:cs="Times New Roman"/>
          <w:spacing w:val="10"/>
        </w:rPr>
        <w:t xml:space="preserve"> </w:t>
      </w:r>
      <w:r w:rsidRPr="0077728D">
        <w:rPr>
          <w:rFonts w:ascii="Times New Roman" w:hAnsi="Times New Roman" w:cs="Times New Roman"/>
        </w:rPr>
        <w:t>98/2013</w:t>
      </w:r>
      <w:r w:rsidRPr="0077728D">
        <w:rPr>
          <w:rFonts w:ascii="Times New Roman" w:hAnsi="Times New Roman" w:cs="Times New Roman"/>
          <w:spacing w:val="11"/>
        </w:rPr>
        <w:t xml:space="preserve"> </w:t>
      </w:r>
      <w:r w:rsidRPr="0077728D">
        <w:rPr>
          <w:rFonts w:ascii="Times New Roman" w:hAnsi="Times New Roman" w:cs="Times New Roman"/>
        </w:rPr>
        <w:t>–</w:t>
      </w:r>
      <w:r w:rsidRPr="0077728D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одлука</w:t>
      </w:r>
      <w:proofErr w:type="spellEnd"/>
      <w:r w:rsidRPr="0077728D">
        <w:rPr>
          <w:rFonts w:ascii="Times New Roman" w:hAnsi="Times New Roman" w:cs="Times New Roman"/>
          <w:spacing w:val="11"/>
        </w:rPr>
        <w:t xml:space="preserve"> </w:t>
      </w:r>
      <w:r w:rsidRPr="0077728D">
        <w:rPr>
          <w:rFonts w:ascii="Times New Roman" w:hAnsi="Times New Roman" w:cs="Times New Roman"/>
        </w:rPr>
        <w:t>УС,</w:t>
      </w:r>
      <w:r w:rsidRPr="0077728D">
        <w:rPr>
          <w:rFonts w:ascii="Times New Roman" w:hAnsi="Times New Roman" w:cs="Times New Roman"/>
          <w:spacing w:val="10"/>
        </w:rPr>
        <w:t xml:space="preserve"> </w:t>
      </w:r>
      <w:r w:rsidRPr="0077728D">
        <w:rPr>
          <w:rFonts w:ascii="Times New Roman" w:hAnsi="Times New Roman" w:cs="Times New Roman"/>
        </w:rPr>
        <w:t>132/2014,</w:t>
      </w:r>
      <w:r w:rsidRPr="0077728D">
        <w:rPr>
          <w:rFonts w:ascii="Times New Roman" w:hAnsi="Times New Roman" w:cs="Times New Roman"/>
          <w:spacing w:val="9"/>
        </w:rPr>
        <w:t xml:space="preserve"> </w:t>
      </w:r>
      <w:r w:rsidRPr="0077728D">
        <w:rPr>
          <w:rFonts w:ascii="Times New Roman" w:hAnsi="Times New Roman" w:cs="Times New Roman"/>
        </w:rPr>
        <w:t>145/2014,</w:t>
      </w:r>
      <w:r w:rsidRPr="0077728D">
        <w:rPr>
          <w:rFonts w:ascii="Times New Roman" w:hAnsi="Times New Roman" w:cs="Times New Roman"/>
          <w:spacing w:val="14"/>
        </w:rPr>
        <w:t xml:space="preserve"> </w:t>
      </w:r>
      <w:r w:rsidRPr="0077728D">
        <w:rPr>
          <w:rFonts w:ascii="Times New Roman" w:hAnsi="Times New Roman" w:cs="Times New Roman"/>
        </w:rPr>
        <w:t>83/2018,</w:t>
      </w:r>
      <w:r w:rsidRPr="0077728D">
        <w:rPr>
          <w:rFonts w:ascii="Times New Roman" w:hAnsi="Times New Roman" w:cs="Times New Roman"/>
          <w:spacing w:val="9"/>
        </w:rPr>
        <w:t xml:space="preserve"> </w:t>
      </w:r>
      <w:r w:rsidRPr="0077728D">
        <w:rPr>
          <w:rFonts w:ascii="Times New Roman" w:hAnsi="Times New Roman" w:cs="Times New Roman"/>
        </w:rPr>
        <w:t>31/2019,</w:t>
      </w:r>
      <w:r w:rsidRPr="0077728D">
        <w:rPr>
          <w:rFonts w:ascii="Times New Roman" w:hAnsi="Times New Roman" w:cs="Times New Roman"/>
          <w:spacing w:val="14"/>
        </w:rPr>
        <w:t xml:space="preserve"> </w:t>
      </w:r>
      <w:r w:rsidRPr="0077728D">
        <w:rPr>
          <w:rFonts w:ascii="Times New Roman" w:hAnsi="Times New Roman" w:cs="Times New Roman"/>
        </w:rPr>
        <w:t>37/2019-др.закон,</w:t>
      </w:r>
      <w:r w:rsidRPr="0077728D">
        <w:rPr>
          <w:rFonts w:ascii="Times New Roman" w:hAnsi="Times New Roman" w:cs="Times New Roman"/>
          <w:spacing w:val="11"/>
        </w:rPr>
        <w:t xml:space="preserve"> </w:t>
      </w:r>
      <w:r w:rsidRPr="0077728D">
        <w:rPr>
          <w:rFonts w:ascii="Times New Roman" w:hAnsi="Times New Roman" w:cs="Times New Roman"/>
        </w:rPr>
        <w:t xml:space="preserve">9/2020, 52/2021 и 62/2023), </w:t>
      </w:r>
      <w:proofErr w:type="spellStart"/>
      <w:r w:rsidRPr="0077728D">
        <w:rPr>
          <w:rFonts w:ascii="Times New Roman" w:hAnsi="Times New Roman" w:cs="Times New Roman"/>
        </w:rPr>
        <w:t>подносим</w:t>
      </w:r>
      <w:proofErr w:type="spellEnd"/>
      <w:r w:rsidRPr="0077728D">
        <w:rPr>
          <w:rFonts w:ascii="Times New Roman" w:hAnsi="Times New Roman" w:cs="Times New Roman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захтев</w:t>
      </w:r>
      <w:proofErr w:type="spellEnd"/>
      <w:r w:rsidRPr="0077728D">
        <w:rPr>
          <w:rFonts w:ascii="Times New Roman" w:hAnsi="Times New Roman" w:cs="Times New Roman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за</w:t>
      </w:r>
      <w:proofErr w:type="spellEnd"/>
      <w:r w:rsidRPr="0077728D">
        <w:rPr>
          <w:rFonts w:ascii="Times New Roman" w:hAnsi="Times New Roman" w:cs="Times New Roman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издавање</w:t>
      </w:r>
      <w:proofErr w:type="spellEnd"/>
      <w:r w:rsidRPr="0077728D">
        <w:rPr>
          <w:rFonts w:ascii="Times New Roman" w:hAnsi="Times New Roman" w:cs="Times New Roman"/>
        </w:rPr>
        <w:t xml:space="preserve"> </w:t>
      </w:r>
      <w:r w:rsidR="0077728D">
        <w:rPr>
          <w:rFonts w:ascii="Times New Roman" w:hAnsi="Times New Roman" w:cs="Times New Roman"/>
          <w:lang w:val="sr-Cyrl-RS"/>
        </w:rPr>
        <w:t>уверења</w:t>
      </w:r>
      <w:r w:rsidRPr="0077728D">
        <w:rPr>
          <w:rFonts w:ascii="Times New Roman" w:hAnsi="Times New Roman" w:cs="Times New Roman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да</w:t>
      </w:r>
      <w:proofErr w:type="spellEnd"/>
      <w:r w:rsidRPr="0077728D">
        <w:rPr>
          <w:rFonts w:ascii="Times New Roman" w:hAnsi="Times New Roman" w:cs="Times New Roman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за</w:t>
      </w:r>
      <w:proofErr w:type="spellEnd"/>
      <w:r w:rsidRPr="0077728D">
        <w:rPr>
          <w:rFonts w:ascii="Times New Roman" w:hAnsi="Times New Roman" w:cs="Times New Roman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доле</w:t>
      </w:r>
      <w:proofErr w:type="spellEnd"/>
      <w:r w:rsidRPr="0077728D">
        <w:rPr>
          <w:rFonts w:ascii="Times New Roman" w:hAnsi="Times New Roman" w:cs="Times New Roman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описане</w:t>
      </w:r>
      <w:proofErr w:type="spellEnd"/>
      <w:r w:rsidRPr="0077728D">
        <w:rPr>
          <w:rFonts w:ascii="Times New Roman" w:hAnsi="Times New Roman" w:cs="Times New Roman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радове</w:t>
      </w:r>
      <w:proofErr w:type="spellEnd"/>
      <w:r w:rsidRPr="0077728D">
        <w:rPr>
          <w:rFonts w:ascii="Times New Roman" w:hAnsi="Times New Roman" w:cs="Times New Roman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није</w:t>
      </w:r>
      <w:proofErr w:type="spellEnd"/>
      <w:r w:rsidRPr="0077728D">
        <w:rPr>
          <w:rFonts w:ascii="Times New Roman" w:hAnsi="Times New Roman" w:cs="Times New Roman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потребно</w:t>
      </w:r>
      <w:proofErr w:type="spellEnd"/>
      <w:r w:rsidRPr="0077728D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прибављати</w:t>
      </w:r>
      <w:proofErr w:type="spellEnd"/>
      <w:r w:rsidRPr="0077728D">
        <w:rPr>
          <w:rFonts w:ascii="Times New Roman" w:hAnsi="Times New Roman" w:cs="Times New Roman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акт</w:t>
      </w:r>
      <w:proofErr w:type="spellEnd"/>
      <w:r w:rsidRPr="0077728D">
        <w:rPr>
          <w:rFonts w:ascii="Times New Roman" w:hAnsi="Times New Roman" w:cs="Times New Roman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надлежног</w:t>
      </w:r>
      <w:proofErr w:type="spellEnd"/>
      <w:r w:rsidRPr="0077728D">
        <w:rPr>
          <w:rFonts w:ascii="Times New Roman" w:hAnsi="Times New Roman" w:cs="Times New Roman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органа</w:t>
      </w:r>
      <w:proofErr w:type="spellEnd"/>
      <w:r w:rsidRPr="0077728D">
        <w:rPr>
          <w:rFonts w:ascii="Times New Roman" w:hAnsi="Times New Roman" w:cs="Times New Roman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за</w:t>
      </w:r>
      <w:proofErr w:type="spellEnd"/>
      <w:r w:rsidRPr="0077728D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градњу</w:t>
      </w:r>
      <w:proofErr w:type="spellEnd"/>
      <w:r w:rsidRPr="0077728D">
        <w:rPr>
          <w:rFonts w:ascii="Times New Roman" w:hAnsi="Times New Roman" w:cs="Times New Roman"/>
        </w:rPr>
        <w:t>,</w:t>
      </w:r>
      <w:r w:rsidRPr="0077728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односно</w:t>
      </w:r>
      <w:proofErr w:type="spellEnd"/>
      <w:r w:rsidRPr="0077728D">
        <w:rPr>
          <w:rFonts w:ascii="Times New Roman" w:hAnsi="Times New Roman" w:cs="Times New Roman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акт</w:t>
      </w:r>
      <w:proofErr w:type="spellEnd"/>
      <w:r w:rsidRPr="0077728D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за</w:t>
      </w:r>
      <w:proofErr w:type="spellEnd"/>
      <w:r w:rsidRPr="0077728D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извођење</w:t>
      </w:r>
      <w:proofErr w:type="spellEnd"/>
      <w:r w:rsidRPr="0077728D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радова</w:t>
      </w:r>
      <w:proofErr w:type="spellEnd"/>
      <w:r w:rsidRPr="0077728D">
        <w:rPr>
          <w:rFonts w:ascii="Times New Roman" w:hAnsi="Times New Roman" w:cs="Times New Roman"/>
        </w:rPr>
        <w:t>,</w:t>
      </w:r>
      <w:r w:rsidRPr="0077728D">
        <w:rPr>
          <w:rFonts w:ascii="Times New Roman" w:hAnsi="Times New Roman" w:cs="Times New Roman"/>
          <w:spacing w:val="1"/>
        </w:rPr>
        <w:t xml:space="preserve"> </w:t>
      </w:r>
      <w:r w:rsidRPr="0077728D">
        <w:rPr>
          <w:rFonts w:ascii="Times New Roman" w:hAnsi="Times New Roman" w:cs="Times New Roman"/>
        </w:rPr>
        <w:t xml:space="preserve">и </w:t>
      </w:r>
      <w:proofErr w:type="spellStart"/>
      <w:r w:rsidRPr="0077728D">
        <w:rPr>
          <w:rFonts w:ascii="Times New Roman" w:hAnsi="Times New Roman" w:cs="Times New Roman"/>
        </w:rPr>
        <w:t>то</w:t>
      </w:r>
      <w:proofErr w:type="spellEnd"/>
      <w:r w:rsidRPr="0077728D">
        <w:rPr>
          <w:rFonts w:ascii="Times New Roman" w:hAnsi="Times New Roman" w:cs="Times New Roman"/>
        </w:rPr>
        <w:t>:</w:t>
      </w:r>
    </w:p>
    <w:p w14:paraId="1C3E0571" w14:textId="77777777" w:rsidR="001E2AB2" w:rsidRPr="0077728D" w:rsidRDefault="001E2AB2">
      <w:pPr>
        <w:pStyle w:val="BodyText"/>
        <w:spacing w:before="4"/>
        <w:rPr>
          <w:rFonts w:ascii="Times New Roman" w:hAnsi="Times New Roman" w:cs="Times New Roman"/>
        </w:rPr>
      </w:pP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5"/>
        <w:gridCol w:w="7467"/>
      </w:tblGrid>
      <w:tr w:rsidR="00E00C30" w:rsidRPr="00D41956" w14:paraId="7740ACC8" w14:textId="77777777" w:rsidTr="006122A3">
        <w:trPr>
          <w:trHeight w:val="209"/>
          <w:jc w:val="center"/>
        </w:trPr>
        <w:tc>
          <w:tcPr>
            <w:tcW w:w="9352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0BB06327" w14:textId="77777777" w:rsidR="00E00C30" w:rsidRDefault="00E00C30" w:rsidP="006122A3">
            <w:pPr>
              <w:spacing w:before="120" w:after="120"/>
              <w:ind w:right="-85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Опис радова</w:t>
            </w:r>
          </w:p>
          <w:p w14:paraId="08D89109" w14:textId="77777777" w:rsidR="00E00C30" w:rsidRPr="00B74DB7" w:rsidRDefault="00E00C30" w:rsidP="006122A3">
            <w:pPr>
              <w:spacing w:before="120" w:after="120"/>
              <w:ind w:right="-85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00C30" w:rsidRPr="00D41956" w14:paraId="0D6BC120" w14:textId="77777777" w:rsidTr="00BF54B5">
        <w:trPr>
          <w:trHeight w:val="209"/>
          <w:jc w:val="center"/>
        </w:trPr>
        <w:tc>
          <w:tcPr>
            <w:tcW w:w="1885" w:type="dxa"/>
          </w:tcPr>
          <w:p w14:paraId="07315C70" w14:textId="77777777" w:rsidR="00E00C30" w:rsidRPr="00B74DB7" w:rsidRDefault="00E00C30" w:rsidP="006122A3">
            <w:pPr>
              <w:spacing w:before="60" w:after="60"/>
              <w:ind w:right="-85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proofErr w:type="spellStart"/>
            <w:r w:rsidRPr="00D41956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кућни број</w:t>
            </w:r>
          </w:p>
        </w:tc>
        <w:tc>
          <w:tcPr>
            <w:tcW w:w="7467" w:type="dxa"/>
          </w:tcPr>
          <w:p w14:paraId="0BB3D7D5" w14:textId="77777777" w:rsidR="00E00C30" w:rsidRPr="00D41956" w:rsidRDefault="00E00C30" w:rsidP="006122A3">
            <w:pPr>
              <w:spacing w:before="60" w:after="60"/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C30" w:rsidRPr="00D41956" w14:paraId="75E658B1" w14:textId="77777777" w:rsidTr="00BF54B5">
        <w:trPr>
          <w:trHeight w:val="209"/>
          <w:jc w:val="center"/>
        </w:trPr>
        <w:tc>
          <w:tcPr>
            <w:tcW w:w="1885" w:type="dxa"/>
          </w:tcPr>
          <w:p w14:paraId="79DCABAF" w14:textId="77777777" w:rsidR="00E00C30" w:rsidRPr="00D41956" w:rsidRDefault="00E00C30" w:rsidP="006122A3">
            <w:pPr>
              <w:spacing w:before="60" w:after="60"/>
              <w:ind w:right="-85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419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Кп.бр.</w:t>
            </w:r>
          </w:p>
        </w:tc>
        <w:tc>
          <w:tcPr>
            <w:tcW w:w="7467" w:type="dxa"/>
            <w:vAlign w:val="center"/>
          </w:tcPr>
          <w:p w14:paraId="21B34838" w14:textId="77777777" w:rsidR="00E00C30" w:rsidRPr="00D41956" w:rsidRDefault="00E00C30" w:rsidP="006122A3">
            <w:pPr>
              <w:spacing w:before="60" w:after="60"/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C30" w:rsidRPr="00D41956" w14:paraId="3E9C4DC3" w14:textId="77777777" w:rsidTr="00BF54B5">
        <w:trPr>
          <w:trHeight w:val="201"/>
          <w:jc w:val="center"/>
        </w:trPr>
        <w:tc>
          <w:tcPr>
            <w:tcW w:w="1885" w:type="dxa"/>
          </w:tcPr>
          <w:p w14:paraId="20E58207" w14:textId="77777777" w:rsidR="00E00C30" w:rsidRPr="00D41956" w:rsidRDefault="00E00C30" w:rsidP="006122A3">
            <w:pPr>
              <w:spacing w:before="60" w:after="60"/>
              <w:ind w:right="-85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419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</w:t>
            </w:r>
          </w:p>
        </w:tc>
        <w:tc>
          <w:tcPr>
            <w:tcW w:w="7467" w:type="dxa"/>
            <w:vAlign w:val="center"/>
          </w:tcPr>
          <w:p w14:paraId="1FBA069C" w14:textId="77777777" w:rsidR="00E00C30" w:rsidRPr="00D41956" w:rsidRDefault="00E00C30" w:rsidP="006122A3">
            <w:pPr>
              <w:spacing w:before="60" w:after="60"/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D41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378ED7E" w14:textId="77777777" w:rsidR="001E2AB2" w:rsidRPr="00E00C30" w:rsidRDefault="001E2AB2">
      <w:pPr>
        <w:pStyle w:val="BodyText"/>
        <w:spacing w:before="9"/>
        <w:rPr>
          <w:rFonts w:ascii="Times New Roman" w:hAnsi="Times New Roman" w:cs="Times New Roman"/>
          <w:sz w:val="18"/>
          <w:szCs w:val="18"/>
        </w:rPr>
      </w:pPr>
    </w:p>
    <w:p w14:paraId="19931E15" w14:textId="3BF5D67C" w:rsidR="009349C4" w:rsidRPr="0077728D" w:rsidRDefault="00000000" w:rsidP="009349C4">
      <w:pPr>
        <w:pStyle w:val="Heading1"/>
        <w:spacing w:before="93"/>
        <w:ind w:left="113"/>
        <w:rPr>
          <w:rFonts w:ascii="Times New Roman" w:hAnsi="Times New Roman" w:cs="Times New Roman"/>
        </w:rPr>
      </w:pPr>
      <w:proofErr w:type="spellStart"/>
      <w:r w:rsidRPr="0077728D">
        <w:rPr>
          <w:rFonts w:ascii="Times New Roman" w:hAnsi="Times New Roman" w:cs="Times New Roman"/>
        </w:rPr>
        <w:t>Таксе</w:t>
      </w:r>
      <w:proofErr w:type="spellEnd"/>
      <w:r w:rsidRPr="0077728D">
        <w:rPr>
          <w:rFonts w:ascii="Times New Roman" w:hAnsi="Times New Roman" w:cs="Times New Roman"/>
        </w:rPr>
        <w:t>/</w:t>
      </w:r>
      <w:proofErr w:type="spellStart"/>
      <w:r w:rsidRPr="0077728D">
        <w:rPr>
          <w:rFonts w:ascii="Times New Roman" w:hAnsi="Times New Roman" w:cs="Times New Roman"/>
        </w:rPr>
        <w:t>накнаде</w:t>
      </w:r>
      <w:proofErr w:type="spellEnd"/>
      <w:r w:rsidRPr="0077728D">
        <w:rPr>
          <w:rFonts w:ascii="Times New Roman" w:hAnsi="Times New Roman" w:cs="Times New Roman"/>
        </w:rPr>
        <w:t>:</w:t>
      </w:r>
    </w:p>
    <w:p w14:paraId="48320019" w14:textId="1827AB73" w:rsidR="001E2AB2" w:rsidRPr="0077728D" w:rsidRDefault="00000000" w:rsidP="001347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Административна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такса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уплаћује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рачун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840-742221843-57,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корисник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Буџет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Републике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Србије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77728D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="001347AF" w:rsidRPr="0077728D">
        <w:rPr>
          <w:rFonts w:ascii="Times New Roman" w:hAnsi="Times New Roman" w:cs="Times New Roman"/>
          <w:sz w:val="20"/>
          <w:szCs w:val="20"/>
        </w:rPr>
        <w:t xml:space="preserve"> </w:t>
      </w:r>
      <w:r w:rsidRPr="0077728D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позивом</w:t>
      </w:r>
      <w:proofErr w:type="spellEnd"/>
      <w:proofErr w:type="gramEnd"/>
      <w:r w:rsidRPr="0077728D">
        <w:rPr>
          <w:rFonts w:ascii="Times New Roman" w:hAnsi="Times New Roman" w:cs="Times New Roman"/>
          <w:spacing w:val="82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pacing w:val="78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77728D">
        <w:rPr>
          <w:rFonts w:ascii="Times New Roman" w:hAnsi="Times New Roman" w:cs="Times New Roman"/>
          <w:spacing w:val="81"/>
          <w:sz w:val="20"/>
          <w:szCs w:val="20"/>
        </w:rPr>
        <w:t xml:space="preserve"> </w:t>
      </w:r>
      <w:r w:rsidR="001347AF" w:rsidRPr="0077728D">
        <w:rPr>
          <w:rFonts w:ascii="Times New Roman" w:hAnsi="Times New Roman" w:cs="Times New Roman"/>
          <w:sz w:val="20"/>
          <w:szCs w:val="20"/>
          <w:lang w:val="sr-Cyrl-CS"/>
        </w:rPr>
        <w:t>97</w:t>
      </w:r>
      <w:r w:rsidR="001347AF" w:rsidRPr="0077728D">
        <w:rPr>
          <w:rFonts w:ascii="Times New Roman" w:hAnsi="Times New Roman" w:cs="Times New Roman"/>
          <w:sz w:val="20"/>
          <w:szCs w:val="20"/>
          <w:lang w:val="sr-Cyrl-CS"/>
        </w:rPr>
        <w:tab/>
        <w:t>6</w:t>
      </w:r>
      <w:r w:rsidR="001347AF" w:rsidRPr="0077728D">
        <w:rPr>
          <w:rFonts w:ascii="Times New Roman" w:hAnsi="Times New Roman" w:cs="Times New Roman"/>
          <w:sz w:val="20"/>
          <w:szCs w:val="20"/>
          <w:lang w:val="sr-Latn-RS"/>
        </w:rPr>
        <w:t>1</w:t>
      </w:r>
      <w:r w:rsidR="001347AF" w:rsidRPr="0077728D">
        <w:rPr>
          <w:rFonts w:ascii="Times New Roman" w:hAnsi="Times New Roman" w:cs="Times New Roman"/>
          <w:sz w:val="20"/>
          <w:szCs w:val="20"/>
          <w:lang w:val="sr-Cyrl-CS"/>
        </w:rPr>
        <w:t>-077</w:t>
      </w:r>
      <w:r w:rsidR="001347AF" w:rsidRPr="0077728D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сврха</w:t>
      </w:r>
      <w:proofErr w:type="spellEnd"/>
      <w:r w:rsidRPr="0077728D">
        <w:rPr>
          <w:rFonts w:ascii="Times New Roman" w:hAnsi="Times New Roman" w:cs="Times New Roman"/>
          <w:spacing w:val="82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дознаке</w:t>
      </w:r>
      <w:proofErr w:type="spellEnd"/>
      <w:r w:rsidR="001347AF" w:rsidRPr="0077728D">
        <w:rPr>
          <w:rFonts w:ascii="Times New Roman" w:hAnsi="Times New Roman" w:cs="Times New Roman"/>
          <w:sz w:val="20"/>
          <w:szCs w:val="20"/>
        </w:rPr>
        <w:t xml:space="preserve"> </w:t>
      </w:r>
      <w:r w:rsidRPr="0077728D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Републичка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административна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такса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“, у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износу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r w:rsidRPr="0077728D">
        <w:rPr>
          <w:rFonts w:ascii="Times New Roman" w:hAnsi="Times New Roman" w:cs="Times New Roman"/>
          <w:b/>
          <w:sz w:val="20"/>
          <w:szCs w:val="20"/>
        </w:rPr>
        <w:t xml:space="preserve">760,00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динара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Тарифном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броју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1. (380,00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дин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.) и 11.</w:t>
      </w:r>
      <w:r w:rsidRPr="0077728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728D">
        <w:rPr>
          <w:rFonts w:ascii="Times New Roman" w:hAnsi="Times New Roman" w:cs="Times New Roman"/>
          <w:sz w:val="20"/>
          <w:szCs w:val="20"/>
        </w:rPr>
        <w:t xml:space="preserve">(380,00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дин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.)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таксене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тарифе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Закона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републичким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административним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таксама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(„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Службени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гласник</w:t>
      </w:r>
      <w:proofErr w:type="spellEnd"/>
      <w:r w:rsidRPr="0077728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Републике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7728D">
        <w:rPr>
          <w:rFonts w:ascii="Times New Roman" w:hAnsi="Times New Roman" w:cs="Times New Roman"/>
          <w:sz w:val="20"/>
          <w:szCs w:val="20"/>
        </w:rPr>
        <w:t>Србије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“</w:t>
      </w:r>
      <w:proofErr w:type="gram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43/03.....50/2018-усклађени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дин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износи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95/2018, 38/2019-усклађени </w:t>
      </w:r>
      <w:proofErr w:type="spellStart"/>
      <w:proofErr w:type="gramStart"/>
      <w:r w:rsidRPr="0077728D">
        <w:rPr>
          <w:rFonts w:ascii="Times New Roman" w:hAnsi="Times New Roman" w:cs="Times New Roman"/>
          <w:sz w:val="20"/>
          <w:szCs w:val="20"/>
        </w:rPr>
        <w:t>дин.износи</w:t>
      </w:r>
      <w:proofErr w:type="spellEnd"/>
      <w:proofErr w:type="gramEnd"/>
      <w:r w:rsidRPr="0077728D">
        <w:rPr>
          <w:rFonts w:ascii="Times New Roman" w:hAnsi="Times New Roman" w:cs="Times New Roman"/>
          <w:sz w:val="20"/>
          <w:szCs w:val="20"/>
        </w:rPr>
        <w:t>,</w:t>
      </w:r>
      <w:r w:rsidRPr="0077728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7728D">
        <w:rPr>
          <w:rFonts w:ascii="Times New Roman" w:hAnsi="Times New Roman" w:cs="Times New Roman"/>
          <w:sz w:val="20"/>
          <w:szCs w:val="20"/>
        </w:rPr>
        <w:t>98/2020-усклађени</w:t>
      </w:r>
      <w:r w:rsidRPr="0077728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дин.изн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.,</w:t>
      </w:r>
      <w:r w:rsidRPr="0077728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7728D">
        <w:rPr>
          <w:rFonts w:ascii="Times New Roman" w:hAnsi="Times New Roman" w:cs="Times New Roman"/>
          <w:sz w:val="20"/>
          <w:szCs w:val="20"/>
        </w:rPr>
        <w:t>144/2020,</w:t>
      </w:r>
      <w:r w:rsidRPr="0077728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7728D">
        <w:rPr>
          <w:rFonts w:ascii="Times New Roman" w:hAnsi="Times New Roman" w:cs="Times New Roman"/>
          <w:sz w:val="20"/>
          <w:szCs w:val="20"/>
        </w:rPr>
        <w:t>62/2021-усклађени</w:t>
      </w:r>
      <w:r w:rsidRPr="0077728D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дин.изн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.,</w:t>
      </w:r>
      <w:r w:rsidRPr="0077728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7728D">
        <w:rPr>
          <w:rFonts w:ascii="Times New Roman" w:hAnsi="Times New Roman" w:cs="Times New Roman"/>
          <w:sz w:val="20"/>
          <w:szCs w:val="20"/>
        </w:rPr>
        <w:t>138/2022</w:t>
      </w:r>
      <w:r w:rsidR="00F4230C" w:rsidRPr="0077728D">
        <w:rPr>
          <w:rFonts w:ascii="Times New Roman" w:hAnsi="Times New Roman" w:cs="Times New Roman"/>
          <w:spacing w:val="-9"/>
          <w:sz w:val="20"/>
          <w:szCs w:val="20"/>
        </w:rPr>
        <w:t>,</w:t>
      </w:r>
      <w:r w:rsidRPr="0077728D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7728D">
        <w:rPr>
          <w:rFonts w:ascii="Times New Roman" w:hAnsi="Times New Roman" w:cs="Times New Roman"/>
          <w:sz w:val="20"/>
          <w:szCs w:val="20"/>
        </w:rPr>
        <w:t>54/2023-усклађени</w:t>
      </w:r>
      <w:r w:rsidRPr="0077728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дин.изн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.</w:t>
      </w:r>
      <w:r w:rsidR="00F4230C" w:rsidRPr="0077728D">
        <w:rPr>
          <w:rFonts w:ascii="Times New Roman" w:hAnsi="Times New Roman" w:cs="Times New Roman"/>
          <w:sz w:val="20"/>
          <w:szCs w:val="20"/>
          <w:lang w:val="sr-Cyrl-RS"/>
        </w:rPr>
        <w:t xml:space="preserve"> и 92/23</w:t>
      </w:r>
      <w:r w:rsidRPr="0077728D">
        <w:rPr>
          <w:rFonts w:ascii="Times New Roman" w:hAnsi="Times New Roman" w:cs="Times New Roman"/>
          <w:sz w:val="20"/>
          <w:szCs w:val="20"/>
        </w:rPr>
        <w:t>).</w:t>
      </w:r>
    </w:p>
    <w:p w14:paraId="61D23715" w14:textId="77777777" w:rsidR="001347AF" w:rsidRPr="0077728D" w:rsidRDefault="001347AF" w:rsidP="001347A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BD77B5" w14:textId="016F83DA" w:rsidR="001347AF" w:rsidRPr="0077728D" w:rsidRDefault="001347AF" w:rsidP="001347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sr-Cyrl-RS"/>
        </w:rPr>
      </w:pPr>
      <w:r w:rsidRPr="0077728D">
        <w:rPr>
          <w:rStyle w:val="Bodytext6"/>
          <w:color w:val="000000"/>
          <w:sz w:val="20"/>
          <w:szCs w:val="20"/>
          <w:lang w:val="sr-Cyrl-RS"/>
        </w:rPr>
        <w:t>Локална административна такса у износу од</w:t>
      </w:r>
      <w:r w:rsidRPr="0077728D">
        <w:rPr>
          <w:rStyle w:val="Bodytext6"/>
          <w:color w:val="000000"/>
          <w:sz w:val="20"/>
          <w:szCs w:val="20"/>
          <w:lang w:val="sr-Latn-RS"/>
        </w:rPr>
        <w:t xml:space="preserve"> </w:t>
      </w:r>
      <w:r w:rsidRPr="0077728D">
        <w:rPr>
          <w:rStyle w:val="Bodytext6"/>
          <w:b/>
          <w:bCs/>
          <w:color w:val="000000"/>
          <w:sz w:val="20"/>
          <w:szCs w:val="20"/>
          <w:lang w:val="sr-Latn-RS"/>
        </w:rPr>
        <w:t>370,00</w:t>
      </w:r>
      <w:r w:rsidRPr="0077728D">
        <w:rPr>
          <w:rStyle w:val="Bodytext6"/>
          <w:color w:val="000000"/>
          <w:sz w:val="20"/>
          <w:szCs w:val="20"/>
          <w:lang w:val="sr-Cyrl-RS"/>
        </w:rPr>
        <w:t xml:space="preserve"> динара се уплаћује на  текући рачун број </w:t>
      </w:r>
      <w:r w:rsidRPr="0077728D">
        <w:rPr>
          <w:rFonts w:ascii="Times New Roman" w:hAnsi="Times New Roman" w:cs="Times New Roman"/>
          <w:sz w:val="20"/>
          <w:szCs w:val="20"/>
          <w:lang w:val="ru-RU"/>
        </w:rPr>
        <w:t>840-742351843-94</w:t>
      </w:r>
      <w:r w:rsidRPr="0077728D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Pr="0077728D">
        <w:rPr>
          <w:rFonts w:ascii="Times New Roman" w:hAnsi="Times New Roman" w:cs="Times New Roman"/>
          <w:sz w:val="20"/>
          <w:szCs w:val="20"/>
          <w:lang w:val="ru-RU"/>
        </w:rPr>
        <w:t>сврха уплате Општински приходи Органа управе</w:t>
      </w:r>
      <w:r w:rsidRPr="0077728D">
        <w:rPr>
          <w:rFonts w:ascii="Times New Roman" w:hAnsi="Times New Roman" w:cs="Times New Roman"/>
          <w:sz w:val="20"/>
          <w:szCs w:val="20"/>
          <w:lang w:val="sr-Cyrl-RS"/>
        </w:rPr>
        <w:t xml:space="preserve">, позив на број </w:t>
      </w:r>
      <w:r w:rsidRPr="0077728D">
        <w:rPr>
          <w:rFonts w:ascii="Times New Roman" w:hAnsi="Times New Roman" w:cs="Times New Roman"/>
          <w:sz w:val="20"/>
          <w:szCs w:val="20"/>
          <w:lang w:val="ru-RU"/>
        </w:rPr>
        <w:t>97 61-077</w:t>
      </w:r>
      <w:r w:rsidRPr="0077728D">
        <w:rPr>
          <w:rFonts w:ascii="Times New Roman" w:hAnsi="Times New Roman" w:cs="Times New Roman"/>
          <w:sz w:val="20"/>
          <w:szCs w:val="20"/>
          <w:lang w:val="sr-Cyrl-RS"/>
        </w:rPr>
        <w:t>, сврха дознаке „локална  административна такса“</w:t>
      </w:r>
    </w:p>
    <w:p w14:paraId="413A9D1E" w14:textId="77777777" w:rsidR="001E2AB2" w:rsidRPr="0077728D" w:rsidRDefault="001E2AB2">
      <w:pPr>
        <w:pStyle w:val="BodyText"/>
        <w:spacing w:before="4"/>
        <w:rPr>
          <w:rFonts w:ascii="Times New Roman" w:hAnsi="Times New Roman" w:cs="Times New Roman"/>
        </w:rPr>
      </w:pPr>
    </w:p>
    <w:tbl>
      <w:tblPr>
        <w:tblW w:w="988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920"/>
        <w:gridCol w:w="4965"/>
      </w:tblGrid>
      <w:tr w:rsidR="0077728D" w:rsidRPr="00D41956" w14:paraId="6C550100" w14:textId="77777777" w:rsidTr="006122A3">
        <w:tc>
          <w:tcPr>
            <w:tcW w:w="4917" w:type="dxa"/>
          </w:tcPr>
          <w:p w14:paraId="0DC34D8D" w14:textId="77777777" w:rsidR="0077728D" w:rsidRPr="00D41956" w:rsidRDefault="0077728D" w:rsidP="006122A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419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У________________________________,</w:t>
            </w:r>
          </w:p>
          <w:p w14:paraId="1882DD10" w14:textId="77777777" w:rsidR="0077728D" w:rsidRPr="00D41956" w:rsidRDefault="0077728D" w:rsidP="006122A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419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________________________________ године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F67632F" w14:textId="77777777" w:rsidR="0077728D" w:rsidRPr="00D41956" w:rsidRDefault="0077728D" w:rsidP="006122A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7728D" w:rsidRPr="00D41956" w14:paraId="5E3678AF" w14:textId="77777777" w:rsidTr="006122A3">
        <w:tc>
          <w:tcPr>
            <w:tcW w:w="4917" w:type="dxa"/>
          </w:tcPr>
          <w:p w14:paraId="141451D1" w14:textId="77777777" w:rsidR="0077728D" w:rsidRPr="00D41956" w:rsidRDefault="0077728D" w:rsidP="006122A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93794B" w14:textId="77777777" w:rsidR="0077728D" w:rsidRPr="00D41956" w:rsidRDefault="0077728D" w:rsidP="006122A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419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физичког лица/пословно име правног лица/предузетника</w:t>
            </w:r>
          </w:p>
          <w:p w14:paraId="36A11F31" w14:textId="77777777" w:rsidR="0077728D" w:rsidRPr="00D41956" w:rsidRDefault="0077728D" w:rsidP="006122A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419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подносиоца захтева</w:t>
            </w:r>
          </w:p>
        </w:tc>
      </w:tr>
      <w:tr w:rsidR="0077728D" w:rsidRPr="00D41956" w14:paraId="3DA28DC1" w14:textId="77777777" w:rsidTr="006122A3">
        <w:trPr>
          <w:trHeight w:val="332"/>
        </w:trPr>
        <w:tc>
          <w:tcPr>
            <w:tcW w:w="4917" w:type="dxa"/>
          </w:tcPr>
          <w:p w14:paraId="6AC0C244" w14:textId="77777777" w:rsidR="0077728D" w:rsidRPr="00D41956" w:rsidRDefault="0077728D" w:rsidP="006122A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FE98BBB" w14:textId="77777777" w:rsidR="0077728D" w:rsidRPr="00D41956" w:rsidRDefault="0077728D" w:rsidP="006122A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7728D" w:rsidRPr="00D41956" w14:paraId="3A0B0862" w14:textId="77777777" w:rsidTr="006122A3">
        <w:tc>
          <w:tcPr>
            <w:tcW w:w="4917" w:type="dxa"/>
          </w:tcPr>
          <w:p w14:paraId="2024F2AB" w14:textId="77777777" w:rsidR="0077728D" w:rsidRPr="00D41956" w:rsidRDefault="0077728D" w:rsidP="006122A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7E3D86" w14:textId="77777777" w:rsidR="0077728D" w:rsidRPr="00D41956" w:rsidRDefault="0077728D" w:rsidP="006122A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419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МБ и ПИБ (за правно лице/предузетника)</w:t>
            </w:r>
          </w:p>
        </w:tc>
      </w:tr>
      <w:tr w:rsidR="0077728D" w:rsidRPr="00D41956" w14:paraId="272C503E" w14:textId="77777777" w:rsidTr="006122A3">
        <w:trPr>
          <w:trHeight w:val="368"/>
        </w:trPr>
        <w:tc>
          <w:tcPr>
            <w:tcW w:w="4917" w:type="dxa"/>
          </w:tcPr>
          <w:p w14:paraId="544D751C" w14:textId="77777777" w:rsidR="0077728D" w:rsidRPr="00D41956" w:rsidRDefault="0077728D" w:rsidP="006122A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A92A763" w14:textId="77777777" w:rsidR="0077728D" w:rsidRPr="00D41956" w:rsidRDefault="0077728D" w:rsidP="006122A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7728D" w:rsidRPr="00D41956" w14:paraId="6FBDC508" w14:textId="77777777" w:rsidTr="006122A3">
        <w:trPr>
          <w:trHeight w:val="491"/>
        </w:trPr>
        <w:tc>
          <w:tcPr>
            <w:tcW w:w="4917" w:type="dxa"/>
          </w:tcPr>
          <w:p w14:paraId="6A0F14BE" w14:textId="77777777" w:rsidR="0077728D" w:rsidRPr="00D41956" w:rsidRDefault="0077728D" w:rsidP="006122A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9B9C08" w14:textId="77777777" w:rsidR="0077728D" w:rsidRPr="00D41956" w:rsidRDefault="0077728D" w:rsidP="006122A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419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адреса пребивалишта/седиште</w:t>
            </w:r>
          </w:p>
        </w:tc>
      </w:tr>
      <w:tr w:rsidR="0077728D" w:rsidRPr="00D41956" w14:paraId="2A83C7EE" w14:textId="77777777" w:rsidTr="006122A3">
        <w:trPr>
          <w:trHeight w:val="554"/>
        </w:trPr>
        <w:tc>
          <w:tcPr>
            <w:tcW w:w="4917" w:type="dxa"/>
          </w:tcPr>
          <w:p w14:paraId="5E3CB3D9" w14:textId="77777777" w:rsidR="0077728D" w:rsidRPr="00D41956" w:rsidRDefault="0077728D" w:rsidP="006122A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CC740E" w14:textId="77777777" w:rsidR="0077728D" w:rsidRPr="00D41956" w:rsidRDefault="0077728D" w:rsidP="006122A3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419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контакт телефон</w:t>
            </w:r>
          </w:p>
          <w:p w14:paraId="138D3054" w14:textId="77777777" w:rsidR="0077728D" w:rsidRPr="00D41956" w:rsidRDefault="0077728D" w:rsidP="006122A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7728D" w:rsidRPr="00D41956" w14:paraId="2DDA9347" w14:textId="77777777" w:rsidTr="006122A3">
        <w:tc>
          <w:tcPr>
            <w:tcW w:w="4917" w:type="dxa"/>
          </w:tcPr>
          <w:p w14:paraId="1C99BEE5" w14:textId="77777777" w:rsidR="0077728D" w:rsidRPr="00D41956" w:rsidRDefault="0077728D" w:rsidP="006122A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3D0AF7" w14:textId="77777777" w:rsidR="0077728D" w:rsidRPr="00D41956" w:rsidRDefault="0077728D" w:rsidP="006122A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419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потпис (и печат за правно лице)</w:t>
            </w:r>
          </w:p>
        </w:tc>
      </w:tr>
    </w:tbl>
    <w:p w14:paraId="7D076BFC" w14:textId="77777777" w:rsidR="001E2AB2" w:rsidRPr="0077728D" w:rsidRDefault="001E2AB2">
      <w:pPr>
        <w:spacing w:line="200" w:lineRule="exact"/>
        <w:jc w:val="right"/>
        <w:rPr>
          <w:rFonts w:ascii="Times New Roman" w:hAnsi="Times New Roman" w:cs="Times New Roman"/>
          <w:sz w:val="20"/>
          <w:szCs w:val="20"/>
        </w:rPr>
        <w:sectPr w:rsidR="001E2AB2" w:rsidRPr="0077728D" w:rsidSect="00143F46">
          <w:type w:val="continuous"/>
          <w:pgSz w:w="11910" w:h="16840"/>
          <w:pgMar w:top="980" w:right="740" w:bottom="280" w:left="880" w:header="720" w:footer="720" w:gutter="0"/>
          <w:cols w:space="720"/>
        </w:sectPr>
      </w:pPr>
    </w:p>
    <w:p w14:paraId="20C6A48D" w14:textId="77777777" w:rsidR="001E2AB2" w:rsidRPr="0077728D" w:rsidRDefault="00000000">
      <w:pPr>
        <w:pStyle w:val="Heading1"/>
        <w:spacing w:before="70"/>
        <w:ind w:left="113"/>
        <w:rPr>
          <w:rFonts w:ascii="Times New Roman" w:hAnsi="Times New Roman" w:cs="Times New Roman"/>
        </w:rPr>
      </w:pPr>
      <w:proofErr w:type="spellStart"/>
      <w:r w:rsidRPr="0077728D">
        <w:rPr>
          <w:rFonts w:ascii="Times New Roman" w:hAnsi="Times New Roman" w:cs="Times New Roman"/>
        </w:rPr>
        <w:lastRenderedPageBreak/>
        <w:t>Напомена</w:t>
      </w:r>
      <w:proofErr w:type="spellEnd"/>
      <w:r w:rsidRPr="0077728D">
        <w:rPr>
          <w:rFonts w:ascii="Times New Roman" w:hAnsi="Times New Roman" w:cs="Times New Roman"/>
        </w:rPr>
        <w:t>:</w:t>
      </w:r>
    </w:p>
    <w:p w14:paraId="7FA36E64" w14:textId="77777777" w:rsidR="001E2AB2" w:rsidRPr="0077728D" w:rsidRDefault="00000000">
      <w:pPr>
        <w:pStyle w:val="BodyText"/>
        <w:spacing w:before="6"/>
        <w:ind w:left="113"/>
        <w:rPr>
          <w:rFonts w:ascii="Times New Roman" w:hAnsi="Times New Roman" w:cs="Times New Roman"/>
        </w:rPr>
      </w:pPr>
      <w:proofErr w:type="spellStart"/>
      <w:r w:rsidRPr="0077728D">
        <w:rPr>
          <w:rFonts w:ascii="Times New Roman" w:hAnsi="Times New Roman" w:cs="Times New Roman"/>
        </w:rPr>
        <w:t>Захтев</w:t>
      </w:r>
      <w:proofErr w:type="spellEnd"/>
      <w:r w:rsidRPr="0077728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се</w:t>
      </w:r>
      <w:proofErr w:type="spellEnd"/>
      <w:r w:rsidRPr="0077728D">
        <w:rPr>
          <w:rFonts w:ascii="Times New Roman" w:hAnsi="Times New Roman" w:cs="Times New Roman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односи</w:t>
      </w:r>
      <w:proofErr w:type="spellEnd"/>
      <w:r w:rsidRPr="0077728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на</w:t>
      </w:r>
      <w:proofErr w:type="spellEnd"/>
      <w:r w:rsidRPr="0077728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7728D">
        <w:rPr>
          <w:rFonts w:ascii="Times New Roman" w:hAnsi="Times New Roman" w:cs="Times New Roman"/>
        </w:rPr>
        <w:t>радове</w:t>
      </w:r>
      <w:proofErr w:type="spellEnd"/>
      <w:r w:rsidRPr="0077728D">
        <w:rPr>
          <w:rFonts w:ascii="Times New Roman" w:hAnsi="Times New Roman" w:cs="Times New Roman"/>
        </w:rPr>
        <w:t>:</w:t>
      </w:r>
    </w:p>
    <w:p w14:paraId="5F919DDC" w14:textId="2F645B94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радови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текућем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одржавању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објекта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дела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објекта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стана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другог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посебног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дела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);</w:t>
      </w:r>
    </w:p>
    <w:p w14:paraId="7A33E168" w14:textId="04370FDB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постављање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жичане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дрвене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ограде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;</w:t>
      </w:r>
    </w:p>
    <w:p w14:paraId="50F5E605" w14:textId="6CBFE6ED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грађење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објеката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противградне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одбране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;</w:t>
      </w:r>
    </w:p>
    <w:p w14:paraId="2844D9DF" w14:textId="6E92CC2E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грађење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једноставних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помоћних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објеката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граде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истој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катастарској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парцели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којој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саграђен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главни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објекат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изводе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начин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ометају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редовно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коришћење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суседних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објеката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вртна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сенила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20 м2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основе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стазе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платои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вртни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базени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рибњаци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површине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25 м2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дубине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1,2 м,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надстрешнице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основе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20 м2,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дворишни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камини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површине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2 м2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висине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3 м,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колски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прилази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објектима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ширине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2,5-3 м,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соларни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колектори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прикључују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електродистрибутивну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мрежу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);</w:t>
      </w:r>
    </w:p>
    <w:p w14:paraId="2EFC1889" w14:textId="08BA0303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5)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постројења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инсталисане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снаге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50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кЊ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производњу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енергије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енергије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сунца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потребе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крајњег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купца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стиче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статус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купца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произвођача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складу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прописима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којима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уређује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коришћење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обновљивих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извора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енергије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;</w:t>
      </w:r>
    </w:p>
    <w:p w14:paraId="54F2401A" w14:textId="1F86604F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6)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грађење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једноставних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економских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објеката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граде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пољопривредном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газдинству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објекти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члана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2.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став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1.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тачка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16)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Закона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50 м2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бруто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развијене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грађевинске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површине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сточне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јаме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површине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20 м2,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системи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наводњавање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члана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2.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став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1.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тачка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49)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Закона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припадајућим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бунарима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бунарским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кућицама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пумпама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стакленици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пластеници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уколико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користе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исте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прикључке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инфраструктуру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главни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објекат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;</w:t>
      </w:r>
    </w:p>
    <w:p w14:paraId="37D32701" w14:textId="74ECFF2C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7)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гробнице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споменици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гробљу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;</w:t>
      </w:r>
    </w:p>
    <w:p w14:paraId="2B76DD30" w14:textId="42F459DA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8)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пешачке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стазе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мобилијар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клупе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сл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дечија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игралишта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озелењавање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;</w:t>
      </w:r>
    </w:p>
    <w:p w14:paraId="2F053EE6" w14:textId="0043C32B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9)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плоче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обавештавање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површине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6 м2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друга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припадајућа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опрема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;</w:t>
      </w:r>
    </w:p>
    <w:p w14:paraId="0A563079" w14:textId="2B01C564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10)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носачи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антена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антенама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постојећим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зградама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путевима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инфраструктури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контејнерима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електронских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комуникација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типски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кабинети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базних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станица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одговарајућим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носачима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;</w:t>
      </w:r>
    </w:p>
    <w:p w14:paraId="1ADEE469" w14:textId="0C2872F2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11)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средства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електронских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комуникација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постављају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инсталирају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кабловима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мрежама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електронских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комуникација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каблови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електронских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комуникација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постављају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инсталирају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постојећу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линијску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инфраструктуру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електронских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комуникација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кабловску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канализацију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осим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објекте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члана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133.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став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2.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тачка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16)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Закона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;</w:t>
      </w:r>
    </w:p>
    <w:p w14:paraId="6FCF41DD" w14:textId="5C49DC6C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12)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контејнери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смештај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електронско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комуникационе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електроенергетске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опреме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уређаја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микро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ровови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оптичке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друге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каблове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типски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ормани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унутрашњу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спољашњу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монтажу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смештај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опреме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електронске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комуникације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сл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.;</w:t>
      </w:r>
    </w:p>
    <w:p w14:paraId="1C2B9D44" w14:textId="45B5B374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13)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пакетомати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паметни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поштански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сандучићи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;</w:t>
      </w:r>
    </w:p>
    <w:p w14:paraId="5040A2E5" w14:textId="45D7546D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14)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радови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редовном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радови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ванредном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одржавању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железничке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инфраструктуре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осим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радова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главне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оправке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железничке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инфраструктуре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обухватају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извођење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грађевинских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других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радова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заштитном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појасу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припадајућим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објектима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којима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променити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габарит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волумен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положај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опрема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постојећег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објекта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), у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складу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одредбама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закона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којим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уређује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железничка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инфраструктура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;</w:t>
      </w:r>
    </w:p>
    <w:p w14:paraId="141F9341" w14:textId="2CB3F453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15)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полетно-слетне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стазе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природном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подлогом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дужине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1.000 м;</w:t>
      </w:r>
    </w:p>
    <w:p w14:paraId="109F3869" w14:textId="335338D2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16)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радови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постављању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прикључењу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дистрибутивну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мрежу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типских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ормана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мерног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места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(ОММ)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типских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кабловских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прикључних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кутија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(КПК)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кЊ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постављају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граници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парцеле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којој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налази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објекат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прикључује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постављају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постојећим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електроенергетским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објектима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(ТС,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поџемни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наџемни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водови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), а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могу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бити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слободностојећи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надградни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уградни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;</w:t>
      </w:r>
    </w:p>
    <w:p w14:paraId="0E3131BB" w14:textId="19A54F32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17)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радови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одржавању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поправци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замени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опреме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објектима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ветроелектрана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изводе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без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грађевинских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радова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замена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елиса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замена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гондола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замена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одређених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уређаја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њихових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делова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);</w:t>
      </w:r>
    </w:p>
    <w:p w14:paraId="098637AE" w14:textId="4466B430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18)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стубићи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катодне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заштите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челичне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цевоводе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станице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катодне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заштите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;</w:t>
      </w:r>
    </w:p>
    <w:p w14:paraId="56C7EA23" w14:textId="166EEF6F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19)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ознаке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километраже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ознаке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скретања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заштитне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луле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укрштањима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путевима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пругама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линијским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инфраструктурним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објектима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типа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гасовода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нафтовода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продуктовода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;</w:t>
      </w:r>
    </w:p>
    <w:p w14:paraId="74FCDD37" w14:textId="51FA8273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20)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специфичне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вучне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инсталације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;</w:t>
      </w:r>
    </w:p>
    <w:p w14:paraId="043C38A3" w14:textId="1FDDEBB1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21)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радови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постављању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прикључењу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дистрибутивну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гасну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мрежу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типских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мерно-регулационих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сетова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(МРС),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капацитета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10 м3/х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стамбене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зграде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категорије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А;</w:t>
      </w:r>
    </w:p>
    <w:p w14:paraId="0BCA470D" w14:textId="246B0EE8" w:rsidR="004179BD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22)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постављање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пуњача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електрична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возила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заштитном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појасу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државног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пута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односно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заштитном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појасу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општинских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путева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улица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;</w:t>
      </w:r>
    </w:p>
    <w:p w14:paraId="5447CB49" w14:textId="6A14874D" w:rsidR="001E2AB2" w:rsidRPr="0077728D" w:rsidRDefault="004179BD" w:rsidP="004179BD">
      <w:pPr>
        <w:pStyle w:val="ListParagraph"/>
        <w:numPr>
          <w:ilvl w:val="0"/>
          <w:numId w:val="1"/>
        </w:numPr>
        <w:tabs>
          <w:tab w:val="left" w:pos="325"/>
        </w:tabs>
        <w:spacing w:before="1"/>
        <w:jc w:val="left"/>
        <w:rPr>
          <w:rFonts w:ascii="Times New Roman" w:hAnsi="Times New Roman" w:cs="Times New Roman"/>
          <w:sz w:val="20"/>
          <w:szCs w:val="20"/>
        </w:rPr>
      </w:pPr>
      <w:r w:rsidRPr="0077728D">
        <w:rPr>
          <w:rFonts w:ascii="Times New Roman" w:hAnsi="Times New Roman" w:cs="Times New Roman"/>
          <w:sz w:val="20"/>
          <w:szCs w:val="20"/>
        </w:rPr>
        <w:t xml:space="preserve">23)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постављање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вештачких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избочина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("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лежећи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полицајац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")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стубића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, у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смислу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прописа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којима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уређује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саобраћајна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сигнализација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техничка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средства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успоравање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28D">
        <w:rPr>
          <w:rFonts w:ascii="Times New Roman" w:hAnsi="Times New Roman" w:cs="Times New Roman"/>
          <w:sz w:val="20"/>
          <w:szCs w:val="20"/>
        </w:rPr>
        <w:t>саобраћаја</w:t>
      </w:r>
      <w:proofErr w:type="spellEnd"/>
      <w:r w:rsidRPr="0077728D">
        <w:rPr>
          <w:rFonts w:ascii="Times New Roman" w:hAnsi="Times New Roman" w:cs="Times New Roman"/>
          <w:sz w:val="20"/>
          <w:szCs w:val="20"/>
        </w:rPr>
        <w:t>.</w:t>
      </w:r>
    </w:p>
    <w:sectPr w:rsidR="001E2AB2" w:rsidRPr="0077728D">
      <w:pgSz w:w="11910" w:h="16840"/>
      <w:pgMar w:top="90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4962"/>
    <w:multiLevelType w:val="hybridMultilevel"/>
    <w:tmpl w:val="058E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A1B56"/>
    <w:multiLevelType w:val="hybridMultilevel"/>
    <w:tmpl w:val="CF86FFDC"/>
    <w:lvl w:ilvl="0" w:tplc="24D424A4">
      <w:numFmt w:val="bullet"/>
      <w:lvlText w:val="-"/>
      <w:lvlJc w:val="left"/>
      <w:pPr>
        <w:ind w:left="324" w:hanging="21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eastAsia="en-US" w:bidi="ar-SA"/>
      </w:rPr>
    </w:lvl>
    <w:lvl w:ilvl="1" w:tplc="20F84B88">
      <w:numFmt w:val="bullet"/>
      <w:lvlText w:val="•"/>
      <w:lvlJc w:val="left"/>
      <w:pPr>
        <w:ind w:left="1316" w:hanging="212"/>
      </w:pPr>
      <w:rPr>
        <w:rFonts w:hint="default"/>
        <w:lang w:eastAsia="en-US" w:bidi="ar-SA"/>
      </w:rPr>
    </w:lvl>
    <w:lvl w:ilvl="2" w:tplc="005AE48E">
      <w:numFmt w:val="bullet"/>
      <w:lvlText w:val="•"/>
      <w:lvlJc w:val="left"/>
      <w:pPr>
        <w:ind w:left="2313" w:hanging="212"/>
      </w:pPr>
      <w:rPr>
        <w:rFonts w:hint="default"/>
        <w:lang w:eastAsia="en-US" w:bidi="ar-SA"/>
      </w:rPr>
    </w:lvl>
    <w:lvl w:ilvl="3" w:tplc="BFF8FE18">
      <w:numFmt w:val="bullet"/>
      <w:lvlText w:val="•"/>
      <w:lvlJc w:val="left"/>
      <w:pPr>
        <w:ind w:left="3309" w:hanging="212"/>
      </w:pPr>
      <w:rPr>
        <w:rFonts w:hint="default"/>
        <w:lang w:eastAsia="en-US" w:bidi="ar-SA"/>
      </w:rPr>
    </w:lvl>
    <w:lvl w:ilvl="4" w:tplc="7A0485DE">
      <w:numFmt w:val="bullet"/>
      <w:lvlText w:val="•"/>
      <w:lvlJc w:val="left"/>
      <w:pPr>
        <w:ind w:left="4306" w:hanging="212"/>
      </w:pPr>
      <w:rPr>
        <w:rFonts w:hint="default"/>
        <w:lang w:eastAsia="en-US" w:bidi="ar-SA"/>
      </w:rPr>
    </w:lvl>
    <w:lvl w:ilvl="5" w:tplc="38381096">
      <w:numFmt w:val="bullet"/>
      <w:lvlText w:val="•"/>
      <w:lvlJc w:val="left"/>
      <w:pPr>
        <w:ind w:left="5303" w:hanging="212"/>
      </w:pPr>
      <w:rPr>
        <w:rFonts w:hint="default"/>
        <w:lang w:eastAsia="en-US" w:bidi="ar-SA"/>
      </w:rPr>
    </w:lvl>
    <w:lvl w:ilvl="6" w:tplc="C1183A38">
      <w:numFmt w:val="bullet"/>
      <w:lvlText w:val="•"/>
      <w:lvlJc w:val="left"/>
      <w:pPr>
        <w:ind w:left="6299" w:hanging="212"/>
      </w:pPr>
      <w:rPr>
        <w:rFonts w:hint="default"/>
        <w:lang w:eastAsia="en-US" w:bidi="ar-SA"/>
      </w:rPr>
    </w:lvl>
    <w:lvl w:ilvl="7" w:tplc="CBA87282">
      <w:numFmt w:val="bullet"/>
      <w:lvlText w:val="•"/>
      <w:lvlJc w:val="left"/>
      <w:pPr>
        <w:ind w:left="7296" w:hanging="212"/>
      </w:pPr>
      <w:rPr>
        <w:rFonts w:hint="default"/>
        <w:lang w:eastAsia="en-US" w:bidi="ar-SA"/>
      </w:rPr>
    </w:lvl>
    <w:lvl w:ilvl="8" w:tplc="47B439C4">
      <w:numFmt w:val="bullet"/>
      <w:lvlText w:val="•"/>
      <w:lvlJc w:val="left"/>
      <w:pPr>
        <w:ind w:left="8293" w:hanging="212"/>
      </w:pPr>
      <w:rPr>
        <w:rFonts w:hint="default"/>
        <w:lang w:eastAsia="en-US" w:bidi="ar-SA"/>
      </w:rPr>
    </w:lvl>
  </w:abstractNum>
  <w:num w:numId="1" w16cid:durableId="1055008123">
    <w:abstractNumId w:val="1"/>
  </w:num>
  <w:num w:numId="2" w16cid:durableId="2093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B2"/>
    <w:rsid w:val="00116EF5"/>
    <w:rsid w:val="001347AF"/>
    <w:rsid w:val="00143F46"/>
    <w:rsid w:val="001E2AB2"/>
    <w:rsid w:val="002807F4"/>
    <w:rsid w:val="003144B1"/>
    <w:rsid w:val="003A7501"/>
    <w:rsid w:val="004179BD"/>
    <w:rsid w:val="006B500E"/>
    <w:rsid w:val="0077728D"/>
    <w:rsid w:val="008C6B49"/>
    <w:rsid w:val="009230B9"/>
    <w:rsid w:val="009349C4"/>
    <w:rsid w:val="00B426F7"/>
    <w:rsid w:val="00B84633"/>
    <w:rsid w:val="00B87F9B"/>
    <w:rsid w:val="00BF54B5"/>
    <w:rsid w:val="00E00C30"/>
    <w:rsid w:val="00E23F5C"/>
    <w:rsid w:val="00EE06D1"/>
    <w:rsid w:val="00F4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4F70"/>
  <w15:docId w15:val="{D6506644-27C3-4DC7-8B65-5FB2E47C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54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251" w:right="124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4" w:hanging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4179BD"/>
    <w:pPr>
      <w:widowControl/>
      <w:autoSpaceDE/>
      <w:autoSpaceDN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Bodytext6">
    <w:name w:val="Body text (6)_"/>
    <w:rsid w:val="001347AF"/>
    <w:rPr>
      <w:rFonts w:ascii="Times New Roman" w:hAnsi="Times New Roman" w:cs="Times New Roman" w:hint="default"/>
      <w:sz w:val="23"/>
      <w:szCs w:val="23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- 07_#  ˜˚ '˙.144 ˆ˚˛ ˚ ˜˙˛˘ # ˘ ˘ ˘ 2023-1.doc</vt:lpstr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- 07_#  ˜˚ '˙.144 ˆ˚˛ ˚ ˜˙˛˘ # ˘ ˘ ˘ 2023-1.doc</dc:title>
  <dc:creator>galeksic</dc:creator>
  <cp:lastModifiedBy>Windows User</cp:lastModifiedBy>
  <cp:revision>12</cp:revision>
  <cp:lastPrinted>2024-01-23T09:55:00Z</cp:lastPrinted>
  <dcterms:created xsi:type="dcterms:W3CDTF">2024-01-22T14:07:00Z</dcterms:created>
  <dcterms:modified xsi:type="dcterms:W3CDTF">2024-01-30T07:49:00Z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2024-01-22T00:00:00Z</vt:filetime>
  </property>
</Properties>
</file>